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napToGrid w:val="0"/>
          <w:color w:val="FF0000"/>
          <w:spacing w:val="-22"/>
          <w:sz w:val="90"/>
          <w:szCs w:val="90"/>
        </w:rPr>
      </w:pPr>
    </w:p>
    <w:p>
      <w:pPr>
        <w:jc w:val="center"/>
        <w:rPr>
          <w:rFonts w:hint="eastAsia" w:ascii="宋体" w:hAnsi="宋体"/>
          <w:b/>
          <w:snapToGrid w:val="0"/>
          <w:color w:val="FF0000"/>
          <w:spacing w:val="-22"/>
          <w:kern w:val="0"/>
          <w:sz w:val="90"/>
          <w:szCs w:val="90"/>
        </w:rPr>
      </w:pPr>
    </w:p>
    <w:p>
      <w:pPr>
        <w:jc w:val="center"/>
        <w:rPr>
          <w:rFonts w:hint="eastAsia" w:ascii="Bookman Old Style" w:hAnsi="Bookman Old Style"/>
          <w:b/>
          <w:color w:val="FF0000"/>
          <w:spacing w:val="-22"/>
          <w:w w:val="90"/>
          <w:sz w:val="100"/>
          <w:szCs w:val="100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100"/>
          <w:szCs w:val="100"/>
        </w:rPr>
        <w:t>三明学院教务处文件</w:t>
      </w: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明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教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字</w:t>
      </w:r>
      <w:r>
        <w:rPr>
          <w:rFonts w:hint="eastAsia" w:ascii="仿宋_GB2312" w:hAnsi="宋体" w:eastAsia="仿宋_GB2312"/>
          <w:sz w:val="32"/>
          <w:szCs w:val="32"/>
        </w:rPr>
        <w:t>〔20</w:t>
      </w:r>
      <w:r>
        <w:rPr>
          <w:rFonts w:hint="default" w:ascii="仿宋_GB2312" w:hAnsi="宋体" w:eastAsia="仿宋_GB2312"/>
          <w:sz w:val="32"/>
          <w:szCs w:val="32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default" w:ascii="仿宋_GB2312" w:hAnsi="宋体" w:eastAsia="仿宋_GB2312"/>
          <w:sz w:val="32"/>
          <w:szCs w:val="32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40" w:lineRule="exact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185420</wp:posOffset>
                </wp:positionV>
                <wp:extent cx="5629275" cy="0"/>
                <wp:effectExtent l="0" t="19050" r="9525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14.6pt;height:0pt;width:443.25pt;z-index:251660288;mso-width-relative:page;mso-height-relative:page;" filled="f" stroked="t" coordsize="21600,21600" o:gfxdata="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d07Fa2QAAAAgBAAAPAAAAAAAAAAEA&#10;IAAAADgAAABkcnMvZG93bnJldi54bWxQSwECFAAUAAAACACHTuJAwACQVfgBAADlAwAADgAAAAAA&#10;AAABACAAAAA+AQAAZHJzL2Uyb0RvYy54bWxQSwUGAAAAAAYABgBZAQAAq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关于公布2022年校级一流本科课程（培育）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各学院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经教师申报、学院初审、专家评审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现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确定《供应链管理》等93门课程为2022年校级一流本科课程（培育）。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培育课程应根据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关于开展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年校级一流课程申报工作的通知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中的“建设要求及标准”开展建设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建设期限为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月至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到期验收合格后给予立项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并拨付资助经费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元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门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各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课程团队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应注重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优化教学内容，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强化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课程思政，创新教学方法，完善课程评价，注重过程管理，不断推进课程改革创新。各二级学院作为课程建设的主体单位，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培育课程建设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过程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检查与考核，对课程改革实施情况进行全过程指导与督查。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三明学院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2022年校级一流本科课程（培育）名单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教务处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4"/>
          <w:szCs w:val="2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lang w:val="en-US" w:eastAsia="zh-Hans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Hans"/>
        </w:rPr>
        <w:t>三明学院</w:t>
      </w:r>
      <w:r>
        <w:rPr>
          <w:rFonts w:hint="default" w:ascii="方正小标宋简体" w:hAnsi="方正小标宋简体" w:eastAsia="方正小标宋简体" w:cs="方正小标宋简体"/>
          <w:bCs/>
          <w:sz w:val="40"/>
          <w:szCs w:val="40"/>
          <w:lang w:val="en-US" w:eastAsia="zh-Hans"/>
        </w:rPr>
        <w:t>2022年校级一流本科课程（培育）名单</w:t>
      </w:r>
    </w:p>
    <w:tbl>
      <w:tblPr>
        <w:tblStyle w:val="4"/>
        <w:tblW w:w="140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08"/>
        <w:gridCol w:w="3009"/>
        <w:gridCol w:w="1012"/>
        <w:gridCol w:w="5440"/>
        <w:gridCol w:w="2541"/>
      </w:tblGrid>
      <w:tr>
        <w:trPr>
          <w:trHeight w:val="510" w:hRule="atLeast"/>
          <w:tblHeader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项目编号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课程组成员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YLK2201X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肖鸿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熊华林、林宏隆、余高锋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YLK2202X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邓蓉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熊华林、林宏隆、刘兰英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YLK2203X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余高锋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王佑恩、张志强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YLK2204X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旅游法律法规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陈圆、张玉嫣、龚琳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YLK2205X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生态旅游学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邢伟、刘美娥、朱言坤、罗金华、董晨玲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YLK2206X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旅游服务礼仪与训练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陈爱兰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陈圆、龚琳、杨萍芳、罗金华、陈丽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YLK2207X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餐饮运行与管理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杨萍芳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陈爱兰、龚琳、陈圆、林红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YLK2208X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审计理论与实务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蔡芳娜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李清水、陈红、程婷婷、王祝英、官小军、邱高丰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YLK2209X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肖圆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王祝英、吴丽娜、莫艳飞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YLK2210X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程婷婷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蔡芳娜、莫艳飞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YLK2211X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商业银行经营管理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林鸿超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王祝英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YLK2212X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陈翊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黄海棠、李明骞、郑庆伟、陈佳君、雷艳杰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YLK2213X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陈志斌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金明菊、李明骞、陈佳君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YLK2214X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零售管理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陈佳君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黄海棠、黄文义、陈翊、雷艳杰、朱松平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YLK2215X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雷艳杰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黄海棠、熊华林、陈佳君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YLK2216X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电子商务概论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郑庆伟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李清水、熊华林、黄文义、龚琳、黄海棠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YLK2217X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白迎春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杨晓燕、张平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YLK2218X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数字媒体概论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杨晓燕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陈立龙、白迎春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YLK2219X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刘阳、文艳群、信玉峰、李婧娴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YLK2220X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产品包装设计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李婧娴、文艳群、伊林春、郭龙文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YLK2221X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插画创新设计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李晨、张欣宇、于剑锋、念家雯、张茂华、雷希颖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YLK2222X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二维动画设计基础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张苑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张欣宇、吴晓华、陈蕊蕊、李艺贵、李子君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YLK2223X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李婧娴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邱国鹏、文艳群、孙乙泰、王林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YLK2224X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Web开发技术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陈立龙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曹学海、于敏、郭锐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YLK2225X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案例与专题设计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文艳群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黎焕延、邱国鹏、江平、唐艺秦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YLK2226X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色彩构成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张龙翔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黄道兵、郑荣儒、陈文彬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YLK2227X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王苗苗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王苗苗、郭婷、刘小梅、信玉峰、游耿林、吴景云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YLK2228X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物联网网关设计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刘持标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周建萍、何力鸿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YLK2229X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数学建模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管强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邱锦明、张山清、祁辉、梁明杰、赵绍玉、陈孝国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YLK2230X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惠苗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刘莉、孙丽丽、张鸣华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YLK2231X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Web应用系统开发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孙丽丽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尤垂桔、刘莉、惠苗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YLK2232X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梁明杰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陈孝国、祁辉、张启贤、郑书富、赵治汉、王佑恩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YLK2233X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计算机组成原理与汇编语言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田民格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秦彩杰、林观俊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YLK2234X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数据通信与网络技术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吴美瑜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余文琼、王红雨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YLK2235X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胡景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李增禄、刘孙发、张武威、张茂华、罗淑媛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YLK2236X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魏茂金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魏茂金、许晓赋、郑联慧、曾振武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YLK2237X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肖荣辉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杨秀珍、郑冬梅、颜慧贤、林映燕、魏炽旭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YLK2238X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电路分析基础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伍坪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方桂娟、许国忠、谢华、陈金兰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YLK2239X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汽车检测与诊断技术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洪昊、邓志勇、王孝鹏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YLK2240X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陈金兰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陈金兰、张锐戈、方桂娟、罗文彬、邱思杰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YLK2241X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互换性与技术测量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高浩、张雯娟、纪联南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YLK2242X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数学物理方法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洪海莲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颜慧贤、郑玮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YLK2243X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原子物理学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郑冬梅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曾振武、肖荣辉、魏炽旭、林映燕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YLK2244X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EDA技术与现代数字系统设计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高忠坚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张锐戈、林春日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YLK2245X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汽车CAD/CAM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武蕾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王孝鹏、邓志勇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YLK2246X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陈金兰、方桂娟、伍坪、高忠坚、魏茂金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YLK2247X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艾子健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熊昌炯、谢培庆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YLK2248X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汽车理论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王孝鹏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陈刚、夏泽彬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YLK2249X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兰永强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苏志忠、赵炎、李福颖、黄世俊、彭茂峰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YLK2250X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仪器分析及实验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汤晓斌、任士钊、吴志宏、赵燕娜、吴红燕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YLK2251X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刘希华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刘希华、张君诚、邢建宏、鄢树枫、刘春明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YLK2252X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李奇勇、赵燕娜、陈春乐、郑文辉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YLK2253X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石庆会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邢建宏、鄢树枫、房岩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YLK2254X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蛋白质工程与应用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邢建宏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鄢树枫、刘希华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YLK2255X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化工工艺学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李鲁闽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李鲁闽、陈凯、张建汉、林明穗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YLK2256X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有机化学实验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林福星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张建汉、王建华、赵炎、林明穗、罗菊香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YLK2257X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刘冬玲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赖文忠、李增富、张建汉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YLK2258X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高分子化学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王建华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兰永强、林福星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YLK2259X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李学东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张容、林银大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YLK2260X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林银大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王清华、张鹭静、刘新炜、张容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YLK2261X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园林色彩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张鹭静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林银大、王清华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YLK2262X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土木工程施工技术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苏万鑫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郑仁亮、黄晶晶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YLK2263X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市政工程计量与计价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张孟阳、崔秀琴、黄晶晶、徐欣、王肖颖、黄明君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YLK2264X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建设项目评估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徐欣、陈孝国、黄晶晶、张孟阳、张云海、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YLK2265X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高层建筑结构设计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何莲桂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蔡雪霁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YLK2266X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刘静、张仁巍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YLK2267X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郑仁亮、李阳、连跃宗、张仁巍、颜玲月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YLK2268X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钟海、付晓强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YLK2269X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混凝土结构原理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张会芝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何莲桂、杨悦、蔡雪霁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YLK2270X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刘云祯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赵平喜、叶松青、蒋昌磊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YLK2271X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数字多媒体作品创作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朱铭亮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林阳华、李琦、吴颖莹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YLK2272X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林阳华、邱光华、叶松青、陈桐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YLK2273X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受众与视听率分析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赵平喜、吴孟轩、金雷磊、蒋昌磊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YLK2274X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邓颖冰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吴音、黄菊芬、阴翠梅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海外学院（外国语学院）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YLK2275X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英语阅读-2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雷聪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张伟、李梅兰、吴小莉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海外学院（外国语学院）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YLK2276X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跨文化商务沟通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阴翠梅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海外学院（外国语学院）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YLK2277X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英语阅读-4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雷聪、常鸣、李梅兰、黄菊芬、蒋永远、陈晓梅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海外学院（外国语学院）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YLK2278X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易蔚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吴定昆、吕翠娟、廖文倩、黄菊芬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海外学院（外国语学院）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YLK2279X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健美操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吴莲花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陈金、郑伟、范晓军、高保华、罗剑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体育与康养学院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YLK2280X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宋梁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姚敏、林峻峰、高保华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体育与康养学院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YLK2281X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刘一兵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秦德平、徐新建、林少峰、胡映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体育与康养学院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YLK2282X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运动处方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王勇、廖俊辉、王峰、陈彦彰、刘建彬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体育与康养学院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YLK2283X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艾述华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吴旭平、吴迪、陈甘霖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YLK2284X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汉语基础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陈登平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林大庆、邱良云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YLK2285X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黄晏清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莫传玉、叶晓红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YLK2286X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江水莲、朱婕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YLK2287X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幼儿教师礼仪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邓捷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郭晓琳、许舒敏、谢金涛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YLK2288X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声乐基础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邓滨涛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江水莲、叶佳慧、范奇玉、吴碧玲、王宏、刘玲美、</w:t>
            </w:r>
            <w:r>
              <w:rPr>
                <w:rFonts w:hint="default" w:ascii="Baskerville Regular" w:hAnsi="Baskerville Regular" w:eastAsia="宋体" w:cs="Baskerville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Хрулева、Анастасия、Михайловна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YLK2289X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徐桂兰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刘春明、罗斯怡、苗圃、李雅琪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YLK2290X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中国共产党简史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胡凌鑫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范连生、欧阳秀敏、杜香芹、曾祥明、邓然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YLK2291X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游丽艳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陈丽斌、卢佩玉、程义红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YLK2292X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陈丽斌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游丽艳、许勋恩、卢佩玉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93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YLK2293X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半导体芯片驱动创新班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詹启明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林宜甲、余陈千禧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创业管理学院</w:t>
            </w:r>
          </w:p>
        </w:tc>
      </w:tr>
    </w:tbl>
    <w:p>
      <w:pPr>
        <w:sectPr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2003" w:tblpY="6091"/>
        <w:tblOverlap w:val="never"/>
        <w:tblW w:w="8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0"/>
      </w:tblGrid>
      <w:tr>
        <w:trPr>
          <w:trHeight w:val="700" w:hRule="atLeast"/>
        </w:trPr>
        <w:tc>
          <w:tcPr>
            <w:tcW w:w="8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三明学院教务处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日印发</w:t>
            </w:r>
          </w:p>
        </w:tc>
      </w:tr>
    </w:tbl>
    <w:p/>
    <w:sectPr>
      <w:pgSz w:w="11906" w:h="16838"/>
      <w:pgMar w:top="1474" w:right="1984" w:bottom="1587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Bookman Old Style">
    <w:altName w:val="苹方-简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Baskerville Regular">
    <w:panose1 w:val="02020502070401020303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A3C66"/>
    <w:rsid w:val="47FFD6A1"/>
    <w:rsid w:val="4B7E8819"/>
    <w:rsid w:val="7FAAE0EB"/>
    <w:rsid w:val="7FC6DC05"/>
    <w:rsid w:val="E5FA3C66"/>
    <w:rsid w:val="FDB0B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2023-01-06T05:34:00Z</dcterms:created>
  <dc:creator>hn</dc:creator>
  <cp:lastModifiedBy>hn</cp:lastModifiedBy>
  <dcterms:modified xsi:type="dcterms:W3CDTF">2023-01-09T16:37:06Z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A0A9BB0ECC2709CF5780B563CB01F1F7</vt:lpwstr>
  </property>
</Properties>
</file>